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1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 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1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proofErr w:type="spellStart"/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</w:t>
      </w:r>
      <w:proofErr w:type="spellEnd"/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FC4F2F" w:rsidRPr="00B74875">
        <w:rPr>
          <w:rFonts w:ascii="Times New Roman" w:hAnsi="Times New Roman"/>
          <w:sz w:val="32"/>
          <w:szCs w:val="32"/>
        </w:rPr>
        <w:t>для: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Российскую Федерацию.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proofErr w:type="spellStart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Россотрудничество</w:t>
      </w:r>
      <w:proofErr w:type="spellEnd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 xml:space="preserve"> 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ресоциализацию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реинтеграцию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</w:t>
      </w:r>
      <w:r w:rsidR="00690B54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r w:rsidR="00FE357A" w:rsidRPr="00B74875">
        <w:rPr>
          <w:rFonts w:ascii="Times New Roman" w:hAnsi="Times New Roman"/>
          <w:sz w:val="32"/>
          <w:szCs w:val="32"/>
        </w:rPr>
        <w:t xml:space="preserve">террористическому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 xml:space="preserve">. 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религиозное образование за рубежом и имеющих намерения заниматься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территориальными органами МВД России и </w:t>
      </w:r>
      <w:proofErr w:type="spellStart"/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Росфинмониторинга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по противодействию терроризму и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, 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ФСИН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образования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proofErr w:type="gramStart"/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-центрами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игровых и неигровых фильмов,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proofErr w:type="spellStart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. 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популярные каналы в социальных сетях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Минобрнауки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России и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РАНХиГС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</w:rPr>
        <w:t>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учебно-методические центры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их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>и психологов образовательных организаций</w:t>
      </w:r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Росгвардией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6.4. 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Национального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F05" w:rsidRDefault="00982F05" w:rsidP="00287B15">
      <w:pPr>
        <w:spacing w:after="0" w:line="240" w:lineRule="auto"/>
      </w:pPr>
      <w:r>
        <w:separator/>
      </w:r>
    </w:p>
  </w:endnote>
  <w:endnote w:type="continuationSeparator" w:id="0">
    <w:p w:rsidR="00982F05" w:rsidRDefault="00982F05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F6" w:rsidRDefault="00365CF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F6" w:rsidRDefault="00365CF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F6" w:rsidRDefault="00365CF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F05" w:rsidRDefault="00982F05" w:rsidP="00287B15">
      <w:pPr>
        <w:spacing w:after="0" w:line="240" w:lineRule="auto"/>
      </w:pPr>
      <w:r>
        <w:separator/>
      </w:r>
    </w:p>
  </w:footnote>
  <w:footnote w:type="continuationSeparator" w:id="0">
    <w:p w:rsidR="00982F05" w:rsidRDefault="00982F05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Общая профилактика – деятельность по реализации мероприятий с населением (для сферы образования – с обучающимися),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</w:r>
      <w:proofErr w:type="gramStart"/>
      <w:r w:rsidRPr="00B74875">
        <w:t>с 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социального-экономического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право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 xml:space="preserve"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агентств приводится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</w:t>
      </w:r>
      <w:proofErr w:type="spellStart"/>
      <w:r w:rsidRPr="00B74875">
        <w:t>Росгвардии</w:t>
      </w:r>
      <w:proofErr w:type="spellEnd"/>
      <w:r w:rsidRPr="00B74875">
        <w:t xml:space="preserve">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членами семей понимаются разделяющие идеологию терроризма супруг, супруга (в </w:t>
      </w:r>
      <w:proofErr w:type="spellStart"/>
      <w:r w:rsidRPr="00B74875">
        <w:t>т.ч</w:t>
      </w:r>
      <w:proofErr w:type="spellEnd"/>
      <w:r w:rsidRPr="00B74875">
        <w:t>. вдовец, вдова), родители, дети, усыновители, усыновленные, братья и сестры.</w:t>
      </w:r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Интернет-портале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F6" w:rsidRDefault="00365CF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90" w:rsidRPr="00CF0F5A" w:rsidRDefault="002C3B90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322802">
      <w:rPr>
        <w:rFonts w:ascii="Times New Roman" w:hAnsi="Times New Roman"/>
        <w:noProof/>
        <w:sz w:val="28"/>
        <w:szCs w:val="28"/>
      </w:rPr>
      <w:t>20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CF6" w:rsidRDefault="00365CF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2802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2F05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9010F-5B7E-487E-8983-442B9989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2024-07-10T14:31:00Z</dcterms:created>
  <dcterms:modified xsi:type="dcterms:W3CDTF">2024-07-10T14:31:00Z</dcterms:modified>
</cp:coreProperties>
</file>